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391F6" w14:textId="1AE3E505" w:rsidR="00503758" w:rsidRDefault="00503758" w:rsidP="00E777FD">
      <w:pPr>
        <w:spacing w:after="0" w:line="240" w:lineRule="auto"/>
        <w:jc w:val="both"/>
        <w:rPr>
          <w:rFonts w:ascii="Times New Roman" w:eastAsia="Times New Roman" w:hAnsi="Times New Roman" w:cs="Times New Roman"/>
          <w:snapToGrid w:val="0"/>
          <w:spacing w:val="-4"/>
          <w:kern w:val="0"/>
          <w:sz w:val="24"/>
          <w:szCs w:val="24"/>
          <w:lang w:val="en"/>
          <w14:ligatures w14:val="none"/>
        </w:rPr>
      </w:pPr>
      <w:r w:rsidRPr="00503758">
        <w:rPr>
          <w:rFonts w:ascii="Times New Roman" w:eastAsia="Times New Roman" w:hAnsi="Times New Roman" w:cs="Times New Roman"/>
          <w:snapToGrid w:val="0"/>
          <w:spacing w:val="-4"/>
          <w:kern w:val="0"/>
          <w:sz w:val="24"/>
          <w:szCs w:val="24"/>
          <w:lang w:val="en"/>
          <w14:ligatures w14:val="none"/>
        </w:rPr>
        <w:t>The first microbiome of a Venezuelan stingless bee honey</w:t>
      </w:r>
      <w:r>
        <w:rPr>
          <w:rFonts w:ascii="Times New Roman" w:eastAsia="Times New Roman" w:hAnsi="Times New Roman" w:cs="Times New Roman"/>
          <w:snapToGrid w:val="0"/>
          <w:spacing w:val="-4"/>
          <w:kern w:val="0"/>
          <w:sz w:val="24"/>
          <w:szCs w:val="24"/>
          <w:lang w:val="en"/>
          <w14:ligatures w14:val="none"/>
        </w:rPr>
        <w:t xml:space="preserve"> will be presented on June 17 online at the </w:t>
      </w:r>
      <w:r w:rsidRPr="00CE5E6A">
        <w:rPr>
          <w:rFonts w:ascii="Times New Roman" w:eastAsia="Times New Roman" w:hAnsi="Times New Roman" w:cs="Times New Roman"/>
          <w:b/>
          <w:bCs/>
          <w:snapToGrid w:val="0"/>
          <w:spacing w:val="-4"/>
          <w:kern w:val="0"/>
          <w:sz w:val="24"/>
          <w:szCs w:val="24"/>
          <w:lang w:val="en"/>
          <w14:ligatures w14:val="none"/>
        </w:rPr>
        <w:t>2026 International Symposium on Stingless Bees</w:t>
      </w:r>
      <w:r w:rsidR="00CE5E6A" w:rsidRPr="00CE5E6A">
        <w:rPr>
          <w:rFonts w:ascii="Times New Roman" w:eastAsia="Times New Roman" w:hAnsi="Times New Roman" w:cs="Times New Roman"/>
          <w:b/>
          <w:bCs/>
          <w:snapToGrid w:val="0"/>
          <w:spacing w:val="-4"/>
          <w:kern w:val="0"/>
          <w:sz w:val="24"/>
          <w:szCs w:val="24"/>
          <w:lang w:val="en"/>
          <w14:ligatures w14:val="none"/>
        </w:rPr>
        <w:t xml:space="preserve"> IBRA Webinar</w:t>
      </w:r>
    </w:p>
    <w:p w14:paraId="256BAA2A" w14:textId="24794E92" w:rsidR="00CE5E6A" w:rsidRDefault="00CE5E6A" w:rsidP="00E777FD">
      <w:pPr>
        <w:spacing w:after="0" w:line="240" w:lineRule="auto"/>
        <w:jc w:val="both"/>
        <w:rPr>
          <w:rFonts w:ascii="Times New Roman" w:eastAsia="Times New Roman" w:hAnsi="Times New Roman" w:cs="Times New Roman"/>
          <w:snapToGrid w:val="0"/>
          <w:spacing w:val="-4"/>
          <w:kern w:val="0"/>
          <w:sz w:val="24"/>
          <w:szCs w:val="24"/>
          <w:lang w:val="en"/>
          <w14:ligatures w14:val="none"/>
        </w:rPr>
      </w:pPr>
      <w:r>
        <w:rPr>
          <w:rFonts w:ascii="Times New Roman" w:eastAsia="Times New Roman" w:hAnsi="Times New Roman" w:cs="Times New Roman"/>
          <w:snapToGrid w:val="0"/>
          <w:spacing w:val="-4"/>
          <w:kern w:val="0"/>
          <w:sz w:val="24"/>
          <w:szCs w:val="24"/>
          <w:lang w:val="en"/>
          <w14:ligatures w14:val="none"/>
        </w:rPr>
        <w:t xml:space="preserve">Please, </w:t>
      </w:r>
      <w:r w:rsidR="001E200A">
        <w:rPr>
          <w:rFonts w:ascii="Times New Roman" w:eastAsia="Times New Roman" w:hAnsi="Times New Roman" w:cs="Times New Roman"/>
          <w:snapToGrid w:val="0"/>
          <w:spacing w:val="-4"/>
          <w:kern w:val="0"/>
          <w:sz w:val="24"/>
          <w:szCs w:val="24"/>
          <w:lang w:val="en"/>
          <w14:ligatures w14:val="none"/>
        </w:rPr>
        <w:t xml:space="preserve">FREE </w:t>
      </w:r>
      <w:r>
        <w:rPr>
          <w:rFonts w:ascii="Times New Roman" w:eastAsia="Times New Roman" w:hAnsi="Times New Roman" w:cs="Times New Roman"/>
          <w:snapToGrid w:val="0"/>
          <w:spacing w:val="-4"/>
          <w:kern w:val="0"/>
          <w:sz w:val="24"/>
          <w:szCs w:val="24"/>
          <w:lang w:val="en"/>
          <w14:ligatures w14:val="none"/>
        </w:rPr>
        <w:t>registr</w:t>
      </w:r>
      <w:r w:rsidR="001E200A">
        <w:rPr>
          <w:rFonts w:ascii="Times New Roman" w:eastAsia="Times New Roman" w:hAnsi="Times New Roman" w:cs="Times New Roman"/>
          <w:snapToGrid w:val="0"/>
          <w:spacing w:val="-4"/>
          <w:kern w:val="0"/>
          <w:sz w:val="24"/>
          <w:szCs w:val="24"/>
          <w:lang w:val="en"/>
          <w14:ligatures w14:val="none"/>
        </w:rPr>
        <w:t>ation</w:t>
      </w:r>
      <w:r>
        <w:rPr>
          <w:rFonts w:ascii="Times New Roman" w:eastAsia="Times New Roman" w:hAnsi="Times New Roman" w:cs="Times New Roman"/>
          <w:snapToGrid w:val="0"/>
          <w:spacing w:val="-4"/>
          <w:kern w:val="0"/>
          <w:sz w:val="24"/>
          <w:szCs w:val="24"/>
          <w:lang w:val="en"/>
          <w14:ligatures w14:val="none"/>
        </w:rPr>
        <w:t xml:space="preserve"> here </w:t>
      </w:r>
      <w:hyperlink r:id="rId4" w:history="1">
        <w:r w:rsidR="007759BF" w:rsidRPr="005C4565">
          <w:rPr>
            <w:rStyle w:val="Hipervnculo"/>
            <w:rFonts w:ascii="Times New Roman" w:eastAsia="Times New Roman" w:hAnsi="Times New Roman" w:cs="Times New Roman"/>
            <w:snapToGrid w:val="0"/>
            <w:spacing w:val="-4"/>
            <w:kern w:val="0"/>
            <w:sz w:val="24"/>
            <w:szCs w:val="24"/>
            <w:lang w:val="en"/>
            <w14:ligatures w14:val="none"/>
          </w:rPr>
          <w:t>https://forms.gle/pDp9NHubreebYZEdA</w:t>
        </w:r>
      </w:hyperlink>
      <w:r w:rsidR="007759BF">
        <w:rPr>
          <w:rFonts w:ascii="Times New Roman" w:eastAsia="Times New Roman" w:hAnsi="Times New Roman" w:cs="Times New Roman"/>
          <w:snapToGrid w:val="0"/>
          <w:spacing w:val="-4"/>
          <w:kern w:val="0"/>
          <w:sz w:val="24"/>
          <w:szCs w:val="24"/>
          <w:lang w:val="en"/>
          <w14:ligatures w14:val="none"/>
        </w:rPr>
        <w:t xml:space="preserve"> </w:t>
      </w:r>
    </w:p>
    <w:p w14:paraId="60BDD27E" w14:textId="77777777" w:rsidR="007759BF" w:rsidRDefault="007759BF" w:rsidP="00E777FD">
      <w:pPr>
        <w:spacing w:after="0" w:line="240" w:lineRule="auto"/>
        <w:jc w:val="both"/>
        <w:rPr>
          <w:rFonts w:ascii="Times New Roman" w:eastAsia="Times New Roman" w:hAnsi="Times New Roman" w:cs="Times New Roman"/>
          <w:snapToGrid w:val="0"/>
          <w:spacing w:val="-4"/>
          <w:kern w:val="0"/>
          <w:sz w:val="24"/>
          <w:szCs w:val="24"/>
          <w:lang w:val="en"/>
          <w14:ligatures w14:val="none"/>
        </w:rPr>
      </w:pPr>
    </w:p>
    <w:p w14:paraId="0DDF1983" w14:textId="4CF4A72A" w:rsidR="00CE5E6A" w:rsidRPr="007759BF" w:rsidRDefault="00CE5E6A" w:rsidP="00E777FD">
      <w:pPr>
        <w:spacing w:after="0" w:line="240" w:lineRule="auto"/>
        <w:jc w:val="both"/>
        <w:rPr>
          <w:rFonts w:ascii="Times New Roman" w:eastAsia="Times New Roman" w:hAnsi="Times New Roman" w:cs="Times New Roman"/>
          <w:snapToGrid w:val="0"/>
          <w:spacing w:val="-4"/>
          <w:kern w:val="0"/>
          <w:sz w:val="18"/>
          <w:szCs w:val="18"/>
          <w14:ligatures w14:val="none"/>
        </w:rPr>
      </w:pPr>
      <w:r>
        <w:rPr>
          <w:rFonts w:ascii="Times New Roman" w:eastAsia="Times New Roman" w:hAnsi="Times New Roman" w:cs="Times New Roman"/>
          <w:snapToGrid w:val="0"/>
          <w:spacing w:val="-4"/>
          <w:kern w:val="0"/>
          <w:sz w:val="24"/>
          <w:szCs w:val="24"/>
          <w:lang w:val="en"/>
          <w14:ligatures w14:val="none"/>
        </w:rPr>
        <w:t>The Proceedings of the 2024 JMF Camargo</w:t>
      </w:r>
      <w:r w:rsidR="001E200A">
        <w:rPr>
          <w:rFonts w:ascii="Times New Roman" w:eastAsia="Times New Roman" w:hAnsi="Times New Roman" w:cs="Times New Roman"/>
          <w:snapToGrid w:val="0"/>
          <w:spacing w:val="-4"/>
          <w:kern w:val="0"/>
          <w:sz w:val="24"/>
          <w:szCs w:val="24"/>
          <w:lang w:val="en"/>
          <w14:ligatures w14:val="none"/>
        </w:rPr>
        <w:t xml:space="preserve"> ISSB Merida, Venezuela </w:t>
      </w:r>
      <w:r w:rsidR="007759BF">
        <w:rPr>
          <w:rFonts w:ascii="Times New Roman" w:eastAsia="Times New Roman" w:hAnsi="Times New Roman" w:cs="Times New Roman"/>
          <w:snapToGrid w:val="0"/>
          <w:spacing w:val="-4"/>
          <w:kern w:val="0"/>
          <w:sz w:val="24"/>
          <w:szCs w:val="24"/>
          <w:lang w:val="en"/>
          <w14:ligatures w14:val="none"/>
        </w:rPr>
        <w:t xml:space="preserve">June </w:t>
      </w:r>
      <w:r w:rsidR="001E200A">
        <w:rPr>
          <w:rFonts w:ascii="Times New Roman" w:eastAsia="Times New Roman" w:hAnsi="Times New Roman" w:cs="Times New Roman"/>
          <w:snapToGrid w:val="0"/>
          <w:spacing w:val="-4"/>
          <w:kern w:val="0"/>
          <w:sz w:val="24"/>
          <w:szCs w:val="24"/>
          <w:lang w:val="en"/>
          <w14:ligatures w14:val="none"/>
        </w:rPr>
        <w:t xml:space="preserve">26-29 are hosted at </w:t>
      </w:r>
      <w:r w:rsidR="007759BF" w:rsidRPr="007759BF">
        <w:rPr>
          <w:rFonts w:ascii="Times New Roman" w:eastAsia="Times New Roman" w:hAnsi="Times New Roman" w:cs="Times New Roman"/>
          <w:snapToGrid w:val="0"/>
          <w:kern w:val="0"/>
          <w:sz w:val="18"/>
          <w:szCs w:val="18"/>
          <w:lang w:val="en"/>
          <w14:ligatures w14:val="none"/>
        </w:rPr>
        <w:t>UNU-BIOLAC</w:t>
      </w:r>
      <w:r w:rsidR="007759BF" w:rsidRPr="007759BF">
        <w:rPr>
          <w:rFonts w:ascii="Times New Roman" w:eastAsia="Times New Roman" w:hAnsi="Times New Roman" w:cs="Times New Roman"/>
          <w:snapToGrid w:val="0"/>
          <w:spacing w:val="-6"/>
          <w:kern w:val="0"/>
          <w:sz w:val="20"/>
          <w:szCs w:val="20"/>
          <w:lang w:val="en"/>
          <w14:ligatures w14:val="none"/>
        </w:rPr>
        <w:t xml:space="preserve">  </w:t>
      </w:r>
      <w:hyperlink r:id="rId5" w:history="1">
        <w:r w:rsidR="007759BF" w:rsidRPr="005C4565">
          <w:rPr>
            <w:rStyle w:val="Hipervnculo"/>
            <w:rFonts w:ascii="Times New Roman" w:eastAsia="Times New Roman" w:hAnsi="Times New Roman" w:cs="Times New Roman"/>
            <w:snapToGrid w:val="0"/>
            <w:spacing w:val="-6"/>
            <w:kern w:val="0"/>
            <w:sz w:val="18"/>
            <w:szCs w:val="18"/>
            <w:lang w:val="en"/>
            <w14:ligatures w14:val="none"/>
          </w:rPr>
          <w:t>https://unu.edu/sites/default/files/2024-06/Memorias%20JMF%20Camargo%20Symposium%202024%2012.pdf</w:t>
        </w:r>
      </w:hyperlink>
      <w:r w:rsidR="007759BF">
        <w:rPr>
          <w:rFonts w:ascii="Times New Roman" w:eastAsia="Times New Roman" w:hAnsi="Times New Roman" w:cs="Times New Roman"/>
          <w:snapToGrid w:val="0"/>
          <w:spacing w:val="-6"/>
          <w:kern w:val="0"/>
          <w:sz w:val="18"/>
          <w:szCs w:val="18"/>
          <w:lang w:val="en"/>
          <w14:ligatures w14:val="none"/>
        </w:rPr>
        <w:t xml:space="preserve"> </w:t>
      </w:r>
    </w:p>
    <w:p w14:paraId="3DDBAF3D" w14:textId="77777777" w:rsidR="00503758" w:rsidRDefault="00503758" w:rsidP="00E777FD">
      <w:pPr>
        <w:spacing w:after="0" w:line="240" w:lineRule="auto"/>
        <w:jc w:val="both"/>
        <w:rPr>
          <w:rFonts w:ascii="Times New Roman" w:eastAsia="Times New Roman" w:hAnsi="Times New Roman" w:cs="Times New Roman"/>
          <w:b/>
          <w:bCs/>
          <w:snapToGrid w:val="0"/>
          <w:spacing w:val="-4"/>
          <w:kern w:val="0"/>
          <w:sz w:val="24"/>
          <w:szCs w:val="24"/>
          <w:lang w:val="en"/>
          <w14:ligatures w14:val="none"/>
        </w:rPr>
      </w:pPr>
    </w:p>
    <w:p w14:paraId="6CC948F6" w14:textId="6113561E" w:rsidR="00E777FD" w:rsidRPr="00503758" w:rsidRDefault="00E777FD" w:rsidP="0050375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napToGrid w:val="0"/>
          <w:spacing w:val="-4"/>
          <w:kern w:val="0"/>
          <w:lang w:val="en"/>
          <w14:ligatures w14:val="none"/>
        </w:rPr>
      </w:pPr>
      <w:r w:rsidRPr="00503758">
        <w:rPr>
          <w:rFonts w:ascii="Times New Roman" w:eastAsia="Times New Roman" w:hAnsi="Times New Roman" w:cs="Times New Roman"/>
          <w:b/>
          <w:bCs/>
          <w:snapToGrid w:val="0"/>
          <w:spacing w:val="-4"/>
          <w:kern w:val="0"/>
          <w:lang w:val="en"/>
          <w14:ligatures w14:val="none"/>
        </w:rPr>
        <w:t>26</w:t>
      </w:r>
    </w:p>
    <w:p w14:paraId="0100E534" w14:textId="77777777" w:rsidR="00E777FD" w:rsidRPr="00503758" w:rsidRDefault="00E777FD" w:rsidP="0050375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napToGrid w:val="0"/>
          <w:spacing w:val="-4"/>
          <w:kern w:val="0"/>
          <w:lang w:val="en"/>
          <w14:ligatures w14:val="none"/>
        </w:rPr>
      </w:pPr>
      <w:r w:rsidRPr="00503758">
        <w:rPr>
          <w:rFonts w:ascii="Times New Roman" w:eastAsia="Times New Roman" w:hAnsi="Times New Roman" w:cs="Times New Roman"/>
          <w:b/>
          <w:bCs/>
          <w:snapToGrid w:val="0"/>
          <w:spacing w:val="-4"/>
          <w:kern w:val="0"/>
          <w:lang w:val="en"/>
          <w14:ligatures w14:val="none"/>
        </w:rPr>
        <w:t xml:space="preserve">Preliminary Microbiome of Erica </w:t>
      </w:r>
      <w:r w:rsidRPr="00503758">
        <w:rPr>
          <w:rFonts w:ascii="Times New Roman" w:eastAsia="Times New Roman" w:hAnsi="Times New Roman" w:cs="Times New Roman"/>
          <w:b/>
          <w:bCs/>
          <w:i/>
          <w:iCs/>
          <w:snapToGrid w:val="0"/>
          <w:spacing w:val="-4"/>
          <w:kern w:val="0"/>
          <w:lang w:val="en"/>
          <w14:ligatures w14:val="none"/>
        </w:rPr>
        <w:t xml:space="preserve">Melipona </w:t>
      </w:r>
      <w:proofErr w:type="spellStart"/>
      <w:r w:rsidRPr="00503758">
        <w:rPr>
          <w:rFonts w:ascii="Times New Roman" w:eastAsia="Times New Roman" w:hAnsi="Times New Roman" w:cs="Times New Roman"/>
          <w:b/>
          <w:bCs/>
          <w:i/>
          <w:iCs/>
          <w:snapToGrid w:val="0"/>
          <w:spacing w:val="-4"/>
          <w:kern w:val="0"/>
          <w:lang w:val="en"/>
          <w14:ligatures w14:val="none"/>
        </w:rPr>
        <w:t>favosa</w:t>
      </w:r>
      <w:proofErr w:type="spellEnd"/>
      <w:r w:rsidRPr="00503758">
        <w:rPr>
          <w:rFonts w:ascii="Times New Roman" w:eastAsia="Times New Roman" w:hAnsi="Times New Roman" w:cs="Times New Roman"/>
          <w:b/>
          <w:bCs/>
          <w:snapToGrid w:val="0"/>
          <w:spacing w:val="-4"/>
          <w:kern w:val="0"/>
          <w:lang w:val="en"/>
          <w14:ligatures w14:val="none"/>
        </w:rPr>
        <w:t xml:space="preserve"> (Fabricius, 1798) from </w:t>
      </w:r>
      <w:proofErr w:type="spellStart"/>
      <w:r w:rsidRPr="00503758">
        <w:rPr>
          <w:rFonts w:ascii="Times New Roman" w:eastAsia="Times New Roman" w:hAnsi="Times New Roman" w:cs="Times New Roman"/>
          <w:b/>
          <w:bCs/>
          <w:snapToGrid w:val="0"/>
          <w:spacing w:val="-4"/>
          <w:kern w:val="0"/>
          <w:lang w:val="en"/>
          <w14:ligatures w14:val="none"/>
        </w:rPr>
        <w:t>Paraguana</w:t>
      </w:r>
      <w:proofErr w:type="spellEnd"/>
      <w:r w:rsidRPr="00503758">
        <w:rPr>
          <w:rFonts w:ascii="Times New Roman" w:eastAsia="Times New Roman" w:hAnsi="Times New Roman" w:cs="Times New Roman"/>
          <w:b/>
          <w:bCs/>
          <w:snapToGrid w:val="0"/>
          <w:spacing w:val="-4"/>
          <w:kern w:val="0"/>
          <w:lang w:val="en"/>
          <w14:ligatures w14:val="none"/>
        </w:rPr>
        <w:t xml:space="preserve"> Peninsula, Venezuela </w:t>
      </w:r>
    </w:p>
    <w:p w14:paraId="1A65BBA8" w14:textId="77777777" w:rsidR="00E777FD" w:rsidRPr="00503758" w:rsidRDefault="00E777FD" w:rsidP="00503758">
      <w:pPr>
        <w:pBdr>
          <w:top w:val="single" w:sz="4" w:space="1" w:color="auto"/>
          <w:left w:val="single" w:sz="4" w:space="4" w:color="auto"/>
          <w:bottom w:val="single" w:sz="4" w:space="1" w:color="auto"/>
          <w:right w:val="single" w:sz="4" w:space="4" w:color="auto"/>
        </w:pBdr>
        <w:spacing w:after="0" w:line="240" w:lineRule="auto"/>
        <w:ind w:left="360" w:hanging="360"/>
        <w:jc w:val="both"/>
        <w:rPr>
          <w:rFonts w:ascii="Times New Roman" w:eastAsia="Times New Roman" w:hAnsi="Times New Roman" w:cs="Times New Roman"/>
          <w:snapToGrid w:val="0"/>
          <w:spacing w:val="-4"/>
          <w:kern w:val="0"/>
          <w:lang w:val="en"/>
          <w14:ligatures w14:val="none"/>
        </w:rPr>
      </w:pPr>
    </w:p>
    <w:p w14:paraId="4BDCE59D" w14:textId="77777777" w:rsidR="00E777FD" w:rsidRPr="00503758" w:rsidRDefault="00E777FD" w:rsidP="00503758">
      <w:pPr>
        <w:pBdr>
          <w:top w:val="single" w:sz="4" w:space="1" w:color="auto"/>
          <w:left w:val="single" w:sz="4" w:space="4" w:color="auto"/>
          <w:bottom w:val="single" w:sz="4" w:space="1" w:color="auto"/>
          <w:right w:val="single" w:sz="4" w:space="4" w:color="auto"/>
        </w:pBdr>
        <w:spacing w:after="0" w:line="240" w:lineRule="auto"/>
        <w:ind w:left="360" w:hanging="360"/>
        <w:jc w:val="both"/>
        <w:rPr>
          <w:rFonts w:ascii="Times New Roman" w:eastAsia="Times New Roman" w:hAnsi="Times New Roman" w:cs="Times New Roman"/>
          <w:b/>
          <w:bCs/>
          <w:snapToGrid w:val="0"/>
          <w:spacing w:val="-4"/>
          <w:kern w:val="0"/>
          <w14:ligatures w14:val="none"/>
        </w:rPr>
      </w:pPr>
      <w:proofErr w:type="spellStart"/>
      <w:r w:rsidRPr="00503758">
        <w:rPr>
          <w:rFonts w:ascii="Times New Roman" w:eastAsia="Times New Roman" w:hAnsi="Times New Roman" w:cs="Times New Roman"/>
          <w:b/>
          <w:bCs/>
          <w:snapToGrid w:val="0"/>
          <w:spacing w:val="-4"/>
          <w:kern w:val="0"/>
          <w14:ligatures w14:val="none"/>
        </w:rPr>
        <w:t>Stajich</w:t>
      </w:r>
      <w:proofErr w:type="spellEnd"/>
      <w:r w:rsidRPr="00503758">
        <w:rPr>
          <w:rFonts w:ascii="Times New Roman" w:eastAsia="Times New Roman" w:hAnsi="Times New Roman" w:cs="Times New Roman"/>
          <w:b/>
          <w:bCs/>
          <w:snapToGrid w:val="0"/>
          <w:spacing w:val="-4"/>
          <w:kern w:val="0"/>
          <w14:ligatures w14:val="none"/>
        </w:rPr>
        <w:t xml:space="preserve"> EJ</w:t>
      </w:r>
      <w:r w:rsidRPr="00503758">
        <w:rPr>
          <w:rFonts w:ascii="Times New Roman" w:eastAsia="Times New Roman" w:hAnsi="Times New Roman" w:cs="Times New Roman"/>
          <w:b/>
          <w:bCs/>
          <w:snapToGrid w:val="0"/>
          <w:spacing w:val="-4"/>
          <w:kern w:val="0"/>
          <w:vertAlign w:val="superscript"/>
          <w14:ligatures w14:val="none"/>
        </w:rPr>
        <w:t>1</w:t>
      </w:r>
      <w:r w:rsidRPr="00503758">
        <w:rPr>
          <w:rFonts w:ascii="Times New Roman" w:eastAsia="Times New Roman" w:hAnsi="Times New Roman" w:cs="Times New Roman"/>
          <w:b/>
          <w:bCs/>
          <w:snapToGrid w:val="0"/>
          <w:spacing w:val="-4"/>
          <w:kern w:val="0"/>
          <w14:ligatures w14:val="none"/>
        </w:rPr>
        <w:t>*, Wu-Woods J</w:t>
      </w:r>
      <w:r w:rsidRPr="00503758">
        <w:rPr>
          <w:rFonts w:ascii="Times New Roman" w:eastAsia="Times New Roman" w:hAnsi="Times New Roman" w:cs="Times New Roman"/>
          <w:b/>
          <w:bCs/>
          <w:snapToGrid w:val="0"/>
          <w:spacing w:val="-4"/>
          <w:kern w:val="0"/>
          <w:vertAlign w:val="superscript"/>
          <w14:ligatures w14:val="none"/>
        </w:rPr>
        <w:t>1</w:t>
      </w:r>
      <w:r w:rsidRPr="00503758">
        <w:rPr>
          <w:rFonts w:ascii="Times New Roman" w:eastAsia="Times New Roman" w:hAnsi="Times New Roman" w:cs="Times New Roman"/>
          <w:b/>
          <w:bCs/>
          <w:snapToGrid w:val="0"/>
          <w:spacing w:val="-4"/>
          <w:kern w:val="0"/>
          <w14:ligatures w14:val="none"/>
        </w:rPr>
        <w:t xml:space="preserve">, </w:t>
      </w:r>
      <w:proofErr w:type="spellStart"/>
      <w:r w:rsidRPr="00503758">
        <w:rPr>
          <w:rFonts w:ascii="Times New Roman" w:eastAsia="Times New Roman" w:hAnsi="Times New Roman" w:cs="Times New Roman"/>
          <w:b/>
          <w:bCs/>
          <w:snapToGrid w:val="0"/>
          <w:spacing w:val="-4"/>
          <w:kern w:val="0"/>
          <w14:ligatures w14:val="none"/>
        </w:rPr>
        <w:t>Reschini</w:t>
      </w:r>
      <w:proofErr w:type="spellEnd"/>
      <w:r w:rsidRPr="00503758">
        <w:rPr>
          <w:rFonts w:ascii="Times New Roman" w:eastAsia="Times New Roman" w:hAnsi="Times New Roman" w:cs="Times New Roman"/>
          <w:b/>
          <w:bCs/>
          <w:snapToGrid w:val="0"/>
          <w:spacing w:val="-4"/>
          <w:kern w:val="0"/>
          <w14:ligatures w14:val="none"/>
        </w:rPr>
        <w:t xml:space="preserve"> A</w:t>
      </w:r>
      <w:r w:rsidRPr="00503758">
        <w:rPr>
          <w:rFonts w:ascii="Times New Roman" w:eastAsia="Times New Roman" w:hAnsi="Times New Roman" w:cs="Times New Roman"/>
          <w:b/>
          <w:bCs/>
          <w:snapToGrid w:val="0"/>
          <w:spacing w:val="-4"/>
          <w:kern w:val="0"/>
          <w:vertAlign w:val="superscript"/>
          <w14:ligatures w14:val="none"/>
        </w:rPr>
        <w:t>2</w:t>
      </w:r>
      <w:r w:rsidRPr="00503758">
        <w:rPr>
          <w:rFonts w:ascii="Times New Roman" w:eastAsia="Times New Roman" w:hAnsi="Times New Roman" w:cs="Times New Roman"/>
          <w:b/>
          <w:bCs/>
          <w:snapToGrid w:val="0"/>
          <w:spacing w:val="-4"/>
          <w:kern w:val="0"/>
          <w14:ligatures w14:val="none"/>
        </w:rPr>
        <w:t>, Vit L</w:t>
      </w:r>
      <w:r w:rsidRPr="00503758">
        <w:rPr>
          <w:rFonts w:ascii="Times New Roman" w:eastAsia="Times New Roman" w:hAnsi="Times New Roman" w:cs="Times New Roman"/>
          <w:b/>
          <w:bCs/>
          <w:snapToGrid w:val="0"/>
          <w:spacing w:val="-4"/>
          <w:kern w:val="0"/>
          <w:vertAlign w:val="superscript"/>
          <w14:ligatures w14:val="none"/>
        </w:rPr>
        <w:t>2</w:t>
      </w:r>
      <w:r w:rsidRPr="00503758">
        <w:rPr>
          <w:rFonts w:ascii="Times New Roman" w:eastAsia="Times New Roman" w:hAnsi="Times New Roman" w:cs="Times New Roman"/>
          <w:b/>
          <w:bCs/>
          <w:snapToGrid w:val="0"/>
          <w:spacing w:val="-4"/>
          <w:kern w:val="0"/>
          <w14:ligatures w14:val="none"/>
        </w:rPr>
        <w:t>, Vit D</w:t>
      </w:r>
      <w:r w:rsidRPr="00503758">
        <w:rPr>
          <w:rFonts w:ascii="Times New Roman" w:eastAsia="Times New Roman" w:hAnsi="Times New Roman" w:cs="Times New Roman"/>
          <w:b/>
          <w:bCs/>
          <w:snapToGrid w:val="0"/>
          <w:spacing w:val="-4"/>
          <w:kern w:val="0"/>
          <w:vertAlign w:val="superscript"/>
          <w14:ligatures w14:val="none"/>
        </w:rPr>
        <w:t>2†</w:t>
      </w:r>
      <w:r w:rsidRPr="00503758">
        <w:rPr>
          <w:rFonts w:ascii="Times New Roman" w:eastAsia="Times New Roman" w:hAnsi="Times New Roman" w:cs="Times New Roman"/>
          <w:b/>
          <w:bCs/>
          <w:snapToGrid w:val="0"/>
          <w:spacing w:val="-4"/>
          <w:kern w:val="0"/>
          <w14:ligatures w14:val="none"/>
        </w:rPr>
        <w:t>, Vit P</w:t>
      </w:r>
      <w:r w:rsidRPr="00503758">
        <w:rPr>
          <w:rFonts w:ascii="Times New Roman" w:eastAsia="Times New Roman" w:hAnsi="Times New Roman" w:cs="Times New Roman"/>
          <w:b/>
          <w:bCs/>
          <w:snapToGrid w:val="0"/>
          <w:spacing w:val="-4"/>
          <w:kern w:val="0"/>
          <w:vertAlign w:val="superscript"/>
          <w14:ligatures w14:val="none"/>
        </w:rPr>
        <w:t>2</w:t>
      </w:r>
      <w:r w:rsidRPr="00503758">
        <w:rPr>
          <w:rFonts w:ascii="Times New Roman" w:eastAsia="Times New Roman" w:hAnsi="Times New Roman" w:cs="Times New Roman"/>
          <w:b/>
          <w:bCs/>
          <w:snapToGrid w:val="0"/>
          <w:spacing w:val="-4"/>
          <w:kern w:val="0"/>
          <w14:ligatures w14:val="none"/>
        </w:rPr>
        <w:t>*</w:t>
      </w:r>
    </w:p>
    <w:p w14:paraId="7461853F" w14:textId="77777777" w:rsidR="00E777FD" w:rsidRPr="00503758" w:rsidRDefault="00E777FD" w:rsidP="00503758">
      <w:pPr>
        <w:pBdr>
          <w:top w:val="single" w:sz="4" w:space="1" w:color="auto"/>
          <w:left w:val="single" w:sz="4" w:space="4" w:color="auto"/>
          <w:bottom w:val="single" w:sz="4" w:space="1" w:color="auto"/>
          <w:right w:val="single" w:sz="4" w:space="4" w:color="auto"/>
        </w:pBdr>
        <w:spacing w:after="0" w:line="240" w:lineRule="auto"/>
        <w:ind w:left="360" w:hanging="360"/>
        <w:jc w:val="both"/>
        <w:rPr>
          <w:rFonts w:ascii="Times New Roman" w:eastAsia="Times New Roman" w:hAnsi="Times New Roman" w:cs="Times New Roman"/>
          <w:snapToGrid w:val="0"/>
          <w:spacing w:val="-4"/>
          <w:kern w:val="0"/>
          <w14:ligatures w14:val="none"/>
        </w:rPr>
      </w:pPr>
    </w:p>
    <w:p w14:paraId="5C41B5E0" w14:textId="77777777" w:rsidR="00E777FD" w:rsidRPr="00503758" w:rsidRDefault="00E777FD" w:rsidP="0050375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napToGrid w:val="0"/>
          <w:spacing w:val="-4"/>
          <w:kern w:val="0"/>
          <w14:ligatures w14:val="none"/>
        </w:rPr>
      </w:pPr>
      <w:r w:rsidRPr="00503758">
        <w:rPr>
          <w:rFonts w:ascii="Times New Roman" w:eastAsia="Times New Roman" w:hAnsi="Times New Roman" w:cs="Times New Roman"/>
          <w:snapToGrid w:val="0"/>
          <w:spacing w:val="-4"/>
          <w:kern w:val="0"/>
          <w:vertAlign w:val="superscript"/>
          <w14:ligatures w14:val="none"/>
        </w:rPr>
        <w:t>1</w:t>
      </w:r>
      <w:r w:rsidRPr="00503758">
        <w:rPr>
          <w:rFonts w:ascii="Times New Roman" w:eastAsia="Times New Roman" w:hAnsi="Times New Roman" w:cs="Times New Roman"/>
          <w:snapToGrid w:val="0"/>
          <w:spacing w:val="-4"/>
          <w:kern w:val="0"/>
          <w14:ligatures w14:val="none"/>
        </w:rPr>
        <w:t xml:space="preserve">Department of Microbiology and Plant Pathology, Institute for Integrative Genome Biology, University of California Riverside, Riverside, CA 92521, USA. </w:t>
      </w:r>
      <w:r w:rsidRPr="00503758">
        <w:rPr>
          <w:rFonts w:ascii="Times New Roman" w:eastAsia="Times New Roman" w:hAnsi="Times New Roman" w:cs="Times New Roman"/>
          <w:snapToGrid w:val="0"/>
          <w:spacing w:val="-4"/>
          <w:kern w:val="0"/>
          <w:vertAlign w:val="superscript"/>
          <w14:ligatures w14:val="none"/>
        </w:rPr>
        <w:t>2</w:t>
      </w:r>
      <w:r w:rsidRPr="00503758">
        <w:rPr>
          <w:rFonts w:ascii="Times New Roman" w:eastAsia="Times New Roman" w:hAnsi="Times New Roman" w:cs="Times New Roman"/>
          <w:snapToGrid w:val="0"/>
          <w:spacing w:val="-4"/>
          <w:kern w:val="0"/>
          <w14:ligatures w14:val="none"/>
        </w:rPr>
        <w:t>Apitherapy and Bioactivity, Food Science Department, Faculty of Pharmacy and Bioanalysis, Universidad de Los Andes, Mérida 5101, Venezuela.</w:t>
      </w:r>
    </w:p>
    <w:p w14:paraId="5FEB331B" w14:textId="77777777" w:rsidR="00E777FD" w:rsidRPr="00503758" w:rsidRDefault="00E777FD" w:rsidP="0050375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napToGrid w:val="0"/>
          <w:spacing w:val="-4"/>
          <w:kern w:val="0"/>
          <w14:ligatures w14:val="none"/>
        </w:rPr>
      </w:pPr>
    </w:p>
    <w:p w14:paraId="5D147FC1" w14:textId="25E0D53B" w:rsidR="00E777FD" w:rsidRPr="00503758" w:rsidRDefault="00E777FD" w:rsidP="0050375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napToGrid w:val="0"/>
          <w:spacing w:val="-4"/>
          <w:kern w:val="0"/>
          <w14:ligatures w14:val="none"/>
        </w:rPr>
      </w:pPr>
      <w:r w:rsidRPr="00503758">
        <w:rPr>
          <w:rFonts w:ascii="Times New Roman" w:eastAsia="Times New Roman" w:hAnsi="Times New Roman" w:cs="Times New Roman"/>
          <w:snapToGrid w:val="0"/>
          <w:spacing w:val="-4"/>
          <w:kern w:val="0"/>
          <w14:ligatures w14:val="none"/>
        </w:rPr>
        <w:t>*Corresponding author</w:t>
      </w:r>
      <w:r w:rsidRPr="00503758">
        <w:rPr>
          <w:rFonts w:ascii="Times New Roman" w:eastAsia="Times New Roman" w:hAnsi="Times New Roman" w:cs="Times New Roman"/>
          <w:snapToGrid w:val="0"/>
          <w:spacing w:val="-4"/>
          <w:kern w:val="0"/>
          <w14:ligatures w14:val="none"/>
        </w:rPr>
        <w:t>s</w:t>
      </w:r>
      <w:r w:rsidRPr="00503758">
        <w:rPr>
          <w:rFonts w:ascii="Times New Roman" w:eastAsia="Times New Roman" w:hAnsi="Times New Roman" w:cs="Times New Roman"/>
          <w:snapToGrid w:val="0"/>
          <w:spacing w:val="-4"/>
          <w:kern w:val="0"/>
          <w14:ligatures w14:val="none"/>
        </w:rPr>
        <w:t xml:space="preserve">: Email </w:t>
      </w:r>
      <w:hyperlink r:id="rId6" w:history="1">
        <w:r w:rsidRPr="00503758">
          <w:rPr>
            <w:rStyle w:val="Hipervnculo"/>
            <w:rFonts w:ascii="Times New Roman" w:eastAsia="Times New Roman" w:hAnsi="Times New Roman" w:cs="Times New Roman"/>
            <w:snapToGrid w:val="0"/>
            <w:color w:val="0000FF"/>
            <w:spacing w:val="-4"/>
            <w:kern w:val="0"/>
            <w14:ligatures w14:val="none"/>
          </w:rPr>
          <w:t>vitolivier@gmal.com</w:t>
        </w:r>
      </w:hyperlink>
      <w:r w:rsidRPr="00503758">
        <w:rPr>
          <w:rFonts w:ascii="Times New Roman" w:eastAsia="Times New Roman" w:hAnsi="Times New Roman" w:cs="Times New Roman"/>
          <w:snapToGrid w:val="0"/>
          <w:spacing w:val="-4"/>
          <w:kern w:val="0"/>
          <w14:ligatures w14:val="none"/>
        </w:rPr>
        <w:t xml:space="preserve">  and </w:t>
      </w:r>
      <w:hyperlink r:id="rId7" w:history="1">
        <w:r w:rsidRPr="00503758">
          <w:rPr>
            <w:rStyle w:val="Hipervnculo"/>
            <w:rFonts w:ascii="Times New Roman" w:eastAsia="Times New Roman" w:hAnsi="Times New Roman" w:cs="Times New Roman"/>
            <w:snapToGrid w:val="0"/>
            <w:color w:val="0000FF"/>
            <w:spacing w:val="-4"/>
            <w:kern w:val="0"/>
            <w14:ligatures w14:val="none"/>
          </w:rPr>
          <w:t>jason.stajich@ucr.edu</w:t>
        </w:r>
      </w:hyperlink>
      <w:r w:rsidRPr="00503758">
        <w:rPr>
          <w:rFonts w:ascii="Times New Roman" w:eastAsia="Times New Roman" w:hAnsi="Times New Roman" w:cs="Times New Roman"/>
          <w:snapToGrid w:val="0"/>
          <w:color w:val="0000FF"/>
          <w:spacing w:val="-4"/>
          <w:kern w:val="0"/>
          <w14:ligatures w14:val="none"/>
        </w:rPr>
        <w:t xml:space="preserve"> </w:t>
      </w:r>
    </w:p>
    <w:p w14:paraId="7675ECFF" w14:textId="77777777" w:rsidR="00E777FD" w:rsidRPr="00503758" w:rsidRDefault="00E777FD" w:rsidP="0050375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napToGrid w:val="0"/>
          <w:spacing w:val="-4"/>
          <w:kern w:val="0"/>
          <w14:ligatures w14:val="none"/>
        </w:rPr>
      </w:pPr>
    </w:p>
    <w:p w14:paraId="2511E355" w14:textId="77777777" w:rsidR="00E777FD" w:rsidRPr="00503758" w:rsidRDefault="00E777FD" w:rsidP="0050375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bCs/>
          <w:kern w:val="0"/>
          <w14:ligatures w14:val="none"/>
        </w:rPr>
      </w:pPr>
      <w:r w:rsidRPr="00503758">
        <w:rPr>
          <w:rFonts w:ascii="Times New Roman" w:eastAsia="Calibri" w:hAnsi="Times New Roman" w:cs="Times New Roman"/>
          <w:b/>
          <w:bCs/>
          <w:kern w:val="0"/>
          <w14:ligatures w14:val="none"/>
        </w:rPr>
        <w:t>Abstract</w:t>
      </w:r>
    </w:p>
    <w:p w14:paraId="3A4AEE8C" w14:textId="34FDBFC4" w:rsidR="00E777FD" w:rsidRPr="00503758" w:rsidRDefault="00E777FD" w:rsidP="0050375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color w:val="333333"/>
          <w:sz w:val="22"/>
          <w:szCs w:val="22"/>
        </w:rPr>
      </w:pPr>
      <w:r w:rsidRPr="00503758">
        <w:rPr>
          <w:color w:val="333333"/>
          <w:sz w:val="22"/>
          <w:szCs w:val="22"/>
        </w:rPr>
        <w:t xml:space="preserve">Erica </w:t>
      </w:r>
      <w:r w:rsidRPr="00503758">
        <w:rPr>
          <w:i/>
          <w:iCs/>
          <w:color w:val="333333"/>
          <w:sz w:val="22"/>
          <w:szCs w:val="22"/>
        </w:rPr>
        <w:t xml:space="preserve">Melipona </w:t>
      </w:r>
      <w:proofErr w:type="spellStart"/>
      <w:r w:rsidRPr="00503758">
        <w:rPr>
          <w:i/>
          <w:iCs/>
          <w:color w:val="333333"/>
          <w:sz w:val="22"/>
          <w:szCs w:val="22"/>
        </w:rPr>
        <w:t>favosa</w:t>
      </w:r>
      <w:proofErr w:type="spellEnd"/>
      <w:r w:rsidRPr="00503758">
        <w:rPr>
          <w:color w:val="333333"/>
          <w:sz w:val="22"/>
          <w:szCs w:val="22"/>
        </w:rPr>
        <w:t xml:space="preserve"> (Fabricius, 1798) is a Neotropical stingless </w:t>
      </w:r>
      <w:proofErr w:type="spellStart"/>
      <w:r w:rsidRPr="00503758">
        <w:rPr>
          <w:color w:val="333333"/>
          <w:sz w:val="22"/>
          <w:szCs w:val="22"/>
        </w:rPr>
        <w:t>bee</w:t>
      </w:r>
      <w:proofErr w:type="spellEnd"/>
      <w:r w:rsidRPr="00503758">
        <w:rPr>
          <w:color w:val="333333"/>
          <w:sz w:val="22"/>
          <w:szCs w:val="22"/>
        </w:rPr>
        <w:t xml:space="preserve"> known for its delicate fermented medicinal honey of fruity-floral smell and aroma, a distinctive </w:t>
      </w:r>
      <w:proofErr w:type="spellStart"/>
      <w:r w:rsidRPr="00503758">
        <w:rPr>
          <w:color w:val="333333"/>
          <w:sz w:val="22"/>
          <w:szCs w:val="22"/>
        </w:rPr>
        <w:t>volatilome</w:t>
      </w:r>
      <w:proofErr w:type="spellEnd"/>
      <w:r w:rsidRPr="00503758">
        <w:rPr>
          <w:color w:val="333333"/>
          <w:sz w:val="22"/>
          <w:szCs w:val="22"/>
        </w:rPr>
        <w:t xml:space="preserve">, and recently tested as a therapeutic synergistic agent complementary to antibiotics used to fight antimicrobial resistance (AMR). Gut microbiome of eusocial </w:t>
      </w:r>
      <w:proofErr w:type="spellStart"/>
      <w:r w:rsidRPr="00503758">
        <w:rPr>
          <w:color w:val="333333"/>
          <w:sz w:val="22"/>
          <w:szCs w:val="22"/>
        </w:rPr>
        <w:t>corbiculate</w:t>
      </w:r>
      <w:proofErr w:type="spellEnd"/>
      <w:r w:rsidRPr="00503758">
        <w:rPr>
          <w:color w:val="333333"/>
          <w:sz w:val="22"/>
          <w:szCs w:val="22"/>
        </w:rPr>
        <w:t xml:space="preserve"> bees is more studied than nest materials. Host-specific microbes associated to stingless bees have roles in food processing, pathogen defense, host health, life cycle, and social immunity. Conserved ancient associations of obligate symbionts like the bacteria </w:t>
      </w:r>
      <w:proofErr w:type="spellStart"/>
      <w:r w:rsidRPr="00503758">
        <w:rPr>
          <w:i/>
          <w:iCs/>
          <w:color w:val="333333"/>
          <w:sz w:val="22"/>
          <w:szCs w:val="22"/>
        </w:rPr>
        <w:t>Snodgras</w:t>
      </w:r>
      <w:r w:rsidRPr="00503758">
        <w:rPr>
          <w:color w:val="333333"/>
          <w:sz w:val="22"/>
          <w:szCs w:val="22"/>
        </w:rPr>
        <w:t>s</w:t>
      </w:r>
      <w:r w:rsidRPr="00503758">
        <w:rPr>
          <w:i/>
          <w:iCs/>
          <w:color w:val="333333"/>
          <w:sz w:val="22"/>
          <w:szCs w:val="22"/>
        </w:rPr>
        <w:t>ella</w:t>
      </w:r>
      <w:proofErr w:type="spellEnd"/>
      <w:r w:rsidRPr="00503758">
        <w:rPr>
          <w:color w:val="333333"/>
          <w:sz w:val="22"/>
          <w:szCs w:val="22"/>
        </w:rPr>
        <w:t> and </w:t>
      </w:r>
      <w:proofErr w:type="spellStart"/>
      <w:r w:rsidRPr="00503758">
        <w:rPr>
          <w:i/>
          <w:iCs/>
          <w:color w:val="333333"/>
          <w:sz w:val="22"/>
          <w:szCs w:val="22"/>
        </w:rPr>
        <w:t>Gilliamella</w:t>
      </w:r>
      <w:proofErr w:type="spellEnd"/>
      <w:r w:rsidRPr="00503758">
        <w:rPr>
          <w:color w:val="333333"/>
          <w:sz w:val="22"/>
          <w:szCs w:val="22"/>
        </w:rPr>
        <w:t> are consistent in more than 95% of </w:t>
      </w:r>
      <w:r w:rsidRPr="00503758">
        <w:rPr>
          <w:i/>
          <w:iCs/>
          <w:color w:val="333333"/>
          <w:sz w:val="22"/>
          <w:szCs w:val="22"/>
        </w:rPr>
        <w:t>Apis mellifera</w:t>
      </w:r>
      <w:r w:rsidRPr="00503758">
        <w:rPr>
          <w:color w:val="333333"/>
          <w:sz w:val="22"/>
          <w:szCs w:val="22"/>
        </w:rPr>
        <w:t> gut, but not in </w:t>
      </w:r>
      <w:r w:rsidRPr="00503758">
        <w:rPr>
          <w:i/>
          <w:iCs/>
          <w:color w:val="333333"/>
          <w:sz w:val="22"/>
          <w:szCs w:val="22"/>
        </w:rPr>
        <w:t>Melipona</w:t>
      </w:r>
      <w:r w:rsidRPr="00503758">
        <w:rPr>
          <w:color w:val="333333"/>
          <w:sz w:val="22"/>
          <w:szCs w:val="22"/>
        </w:rPr>
        <w:t>. This shift in microbiota composition deserves scientific research, The 605 global species of stingless bees envisage microbial biodiversity, functions in the nest, and applications in biotechnology and human health. Dried specimens of the bee were identified by JMF Camargo</w:t>
      </w:r>
      <w:r w:rsidRPr="00503758">
        <w:rPr>
          <w:color w:val="333333"/>
          <w:sz w:val="22"/>
          <w:szCs w:val="22"/>
          <w:vertAlign w:val="superscript"/>
        </w:rPr>
        <w:t>†</w:t>
      </w:r>
      <w:r w:rsidRPr="00503758">
        <w:rPr>
          <w:color w:val="333333"/>
          <w:sz w:val="22"/>
          <w:szCs w:val="22"/>
        </w:rPr>
        <w:t xml:space="preserve"> at Universiade de São Paulo, </w:t>
      </w:r>
      <w:proofErr w:type="spellStart"/>
      <w:r w:rsidRPr="00503758">
        <w:rPr>
          <w:color w:val="333333"/>
          <w:sz w:val="22"/>
          <w:szCs w:val="22"/>
        </w:rPr>
        <w:t>Ribeirão</w:t>
      </w:r>
      <w:proofErr w:type="spellEnd"/>
      <w:r w:rsidRPr="00503758">
        <w:rPr>
          <w:color w:val="333333"/>
          <w:sz w:val="22"/>
          <w:szCs w:val="22"/>
        </w:rPr>
        <w:t xml:space="preserve"> Preto, SP, Brazil. The </w:t>
      </w:r>
      <w:r w:rsidRPr="00503758">
        <w:rPr>
          <w:i/>
          <w:iCs/>
          <w:color w:val="333333"/>
          <w:sz w:val="22"/>
          <w:szCs w:val="22"/>
        </w:rPr>
        <w:t xml:space="preserve">M. </w:t>
      </w:r>
      <w:proofErr w:type="spellStart"/>
      <w:r w:rsidRPr="00503758">
        <w:rPr>
          <w:i/>
          <w:iCs/>
          <w:color w:val="333333"/>
          <w:sz w:val="22"/>
          <w:szCs w:val="22"/>
        </w:rPr>
        <w:t>favosa</w:t>
      </w:r>
      <w:proofErr w:type="spellEnd"/>
      <w:r w:rsidRPr="00503758">
        <w:rPr>
          <w:color w:val="333333"/>
          <w:sz w:val="22"/>
          <w:szCs w:val="22"/>
        </w:rPr>
        <w:t xml:space="preserve"> pot-honey was extracted by suction with at sterile 10 mL syringe from sealed honey pots and kept frozen. Soluble solids were removed dissolving 10 g honey and 20 g PCR water in a 50 mL Falcon centrifuge tube, and two centrifugations at 3500 rpm x 15 min, 25°C. DNA was extracted from the pellet using a </w:t>
      </w:r>
      <w:proofErr w:type="spellStart"/>
      <w:r w:rsidRPr="00503758">
        <w:rPr>
          <w:color w:val="333333"/>
          <w:sz w:val="22"/>
          <w:szCs w:val="22"/>
        </w:rPr>
        <w:t>NucleoSpin</w:t>
      </w:r>
      <w:proofErr w:type="spellEnd"/>
      <w:r w:rsidRPr="00503758">
        <w:rPr>
          <w:color w:val="333333"/>
          <w:sz w:val="22"/>
          <w:szCs w:val="22"/>
        </w:rPr>
        <w:t xml:space="preserve"> </w:t>
      </w:r>
      <w:proofErr w:type="spellStart"/>
      <w:r w:rsidRPr="00503758">
        <w:rPr>
          <w:color w:val="333333"/>
          <w:sz w:val="22"/>
          <w:szCs w:val="22"/>
        </w:rPr>
        <w:t>Macherey</w:t>
      </w:r>
      <w:proofErr w:type="spellEnd"/>
      <w:r w:rsidRPr="00503758">
        <w:rPr>
          <w:color w:val="333333"/>
          <w:sz w:val="22"/>
          <w:szCs w:val="22"/>
        </w:rPr>
        <w:t xml:space="preserve"> Nagel Qiagen food kit. The Earth Microbiome Project (EMP) primers for fungi, the ribosomal internal transcribed spacer 1 (ITS1) region was amplified. For bacterial EMP 515F designed and modified primers, the 16S ribosomal RNA (rRNA) gene was amplified. Libraries were prepared using forward and reverse primers, including Illumina adapter sequences, quality checked, and submitted to be sequenced at the University of California, Riverside Genomics Core Facility. Amplicon sequences were processed and clustered with DADA2. Taxa were assigned to bacteria with the RDP database and fungi with the UNITE TS database implemented in the </w:t>
      </w:r>
      <w:proofErr w:type="spellStart"/>
      <w:r w:rsidRPr="00503758">
        <w:rPr>
          <w:color w:val="333333"/>
          <w:sz w:val="22"/>
          <w:szCs w:val="22"/>
        </w:rPr>
        <w:t>amptk</w:t>
      </w:r>
      <w:proofErr w:type="spellEnd"/>
      <w:r w:rsidRPr="00503758">
        <w:rPr>
          <w:color w:val="333333"/>
          <w:sz w:val="22"/>
          <w:szCs w:val="22"/>
        </w:rPr>
        <w:t xml:space="preserve"> taxonomy tool. The microbiome composition for the ITS1 region and 16S rRNA amplicon sequencing variants (ASV) was: The dominant fungi was 27</w:t>
      </w:r>
      <w:r w:rsidRPr="00503758">
        <w:rPr>
          <w:sz w:val="22"/>
          <w:szCs w:val="22"/>
          <w:lang w:eastAsia="es-ES"/>
        </w:rPr>
        <w:t>%</w:t>
      </w:r>
      <w:r w:rsidRPr="00503758">
        <w:rPr>
          <w:color w:val="333333"/>
          <w:sz w:val="22"/>
          <w:szCs w:val="22"/>
        </w:rPr>
        <w:t xml:space="preserve"> of </w:t>
      </w:r>
      <w:r w:rsidRPr="00503758">
        <w:rPr>
          <w:color w:val="333333"/>
          <w:spacing w:val="-6"/>
          <w:sz w:val="22"/>
          <w:szCs w:val="22"/>
        </w:rPr>
        <w:t xml:space="preserve">the yeast </w:t>
      </w:r>
      <w:proofErr w:type="spellStart"/>
      <w:r w:rsidRPr="00503758">
        <w:rPr>
          <w:i/>
          <w:iCs/>
          <w:spacing w:val="-6"/>
          <w:sz w:val="22"/>
          <w:szCs w:val="22"/>
          <w:lang w:eastAsia="es-ES"/>
        </w:rPr>
        <w:t>Debaryomyces</w:t>
      </w:r>
      <w:proofErr w:type="spellEnd"/>
      <w:r w:rsidRPr="00503758">
        <w:rPr>
          <w:spacing w:val="-6"/>
          <w:sz w:val="22"/>
          <w:szCs w:val="22"/>
          <w:lang w:eastAsia="es-ES"/>
        </w:rPr>
        <w:t xml:space="preserve">,  20% of the mold </w:t>
      </w:r>
      <w:r w:rsidRPr="00503758">
        <w:rPr>
          <w:rFonts w:eastAsia="Calibri"/>
          <w:i/>
          <w:iCs/>
          <w:spacing w:val="-6"/>
          <w:sz w:val="22"/>
          <w:szCs w:val="22"/>
        </w:rPr>
        <w:t>Aspergillus</w:t>
      </w:r>
      <w:r w:rsidRPr="00503758">
        <w:rPr>
          <w:rFonts w:eastAsia="Calibri"/>
          <w:spacing w:val="-6"/>
          <w:sz w:val="22"/>
          <w:szCs w:val="22"/>
        </w:rPr>
        <w:t>, 18</w:t>
      </w:r>
      <w:r w:rsidRPr="00503758">
        <w:rPr>
          <w:spacing w:val="-6"/>
          <w:sz w:val="22"/>
          <w:szCs w:val="22"/>
          <w:lang w:eastAsia="es-ES"/>
        </w:rPr>
        <w:t>%</w:t>
      </w:r>
      <w:r w:rsidRPr="00503758">
        <w:rPr>
          <w:rFonts w:eastAsia="Calibri"/>
          <w:spacing w:val="-6"/>
          <w:sz w:val="22"/>
          <w:szCs w:val="22"/>
        </w:rPr>
        <w:t xml:space="preserve"> </w:t>
      </w:r>
      <w:proofErr w:type="spellStart"/>
      <w:r w:rsidRPr="00503758">
        <w:rPr>
          <w:rFonts w:eastAsia="Calibri"/>
          <w:i/>
          <w:iCs/>
          <w:spacing w:val="-6"/>
          <w:sz w:val="22"/>
          <w:szCs w:val="22"/>
        </w:rPr>
        <w:t>Cephalosporium</w:t>
      </w:r>
      <w:proofErr w:type="spellEnd"/>
      <w:r w:rsidRPr="00503758">
        <w:rPr>
          <w:rFonts w:eastAsia="Calibri"/>
          <w:spacing w:val="-6"/>
          <w:sz w:val="22"/>
          <w:szCs w:val="22"/>
        </w:rPr>
        <w:t>, 12</w:t>
      </w:r>
      <w:r w:rsidRPr="00503758">
        <w:rPr>
          <w:spacing w:val="-6"/>
          <w:sz w:val="22"/>
          <w:szCs w:val="22"/>
          <w:lang w:eastAsia="es-ES"/>
        </w:rPr>
        <w:t>%</w:t>
      </w:r>
      <w:r w:rsidRPr="00503758">
        <w:rPr>
          <w:rFonts w:eastAsia="Calibri"/>
          <w:spacing w:val="-6"/>
          <w:sz w:val="22"/>
          <w:szCs w:val="22"/>
        </w:rPr>
        <w:t xml:space="preserve"> </w:t>
      </w:r>
      <w:r w:rsidRPr="00503758">
        <w:rPr>
          <w:rFonts w:eastAsia="Calibri"/>
          <w:i/>
          <w:iCs/>
          <w:spacing w:val="-6"/>
          <w:sz w:val="22"/>
          <w:szCs w:val="22"/>
        </w:rPr>
        <w:t>Penicillium</w:t>
      </w:r>
      <w:r w:rsidRPr="00503758">
        <w:rPr>
          <w:rFonts w:eastAsia="Calibri"/>
          <w:spacing w:val="-6"/>
          <w:sz w:val="22"/>
          <w:szCs w:val="22"/>
        </w:rPr>
        <w:t>, 5</w:t>
      </w:r>
      <w:r w:rsidRPr="00503758">
        <w:rPr>
          <w:spacing w:val="-6"/>
          <w:sz w:val="22"/>
          <w:szCs w:val="22"/>
          <w:lang w:eastAsia="es-ES"/>
        </w:rPr>
        <w:t>%</w:t>
      </w:r>
      <w:r w:rsidRPr="00503758">
        <w:rPr>
          <w:rFonts w:eastAsia="Calibri"/>
          <w:spacing w:val="-6"/>
          <w:sz w:val="22"/>
          <w:szCs w:val="22"/>
        </w:rPr>
        <w:t xml:space="preserve"> </w:t>
      </w:r>
      <w:proofErr w:type="spellStart"/>
      <w:r w:rsidRPr="00503758">
        <w:rPr>
          <w:rFonts w:eastAsia="Calibri"/>
          <w:spacing w:val="-6"/>
          <w:sz w:val="22"/>
          <w:szCs w:val="22"/>
        </w:rPr>
        <w:t>Meyerozyma</w:t>
      </w:r>
      <w:proofErr w:type="spellEnd"/>
      <w:r w:rsidRPr="00503758">
        <w:rPr>
          <w:rFonts w:eastAsia="Calibri"/>
          <w:spacing w:val="-6"/>
          <w:sz w:val="22"/>
          <w:szCs w:val="22"/>
        </w:rPr>
        <w:t>, 4</w:t>
      </w:r>
      <w:r w:rsidRPr="00503758">
        <w:rPr>
          <w:spacing w:val="-6"/>
          <w:sz w:val="22"/>
          <w:szCs w:val="22"/>
          <w:lang w:eastAsia="es-ES"/>
        </w:rPr>
        <w:t>%</w:t>
      </w:r>
      <w:r w:rsidRPr="00503758">
        <w:rPr>
          <w:rFonts w:eastAsia="Calibri"/>
          <w:spacing w:val="-6"/>
          <w:sz w:val="22"/>
          <w:szCs w:val="22"/>
        </w:rPr>
        <w:t xml:space="preserve"> </w:t>
      </w:r>
      <w:proofErr w:type="spellStart"/>
      <w:r w:rsidRPr="00503758">
        <w:rPr>
          <w:rFonts w:eastAsia="Calibri"/>
          <w:i/>
          <w:iCs/>
          <w:spacing w:val="-6"/>
          <w:sz w:val="22"/>
          <w:szCs w:val="22"/>
        </w:rPr>
        <w:t>Wallemia</w:t>
      </w:r>
      <w:proofErr w:type="spellEnd"/>
      <w:r w:rsidRPr="00503758">
        <w:rPr>
          <w:rFonts w:eastAsia="Calibri"/>
          <w:spacing w:val="-6"/>
          <w:sz w:val="22"/>
          <w:szCs w:val="22"/>
        </w:rPr>
        <w:t>, 2</w:t>
      </w:r>
      <w:r w:rsidRPr="00503758">
        <w:rPr>
          <w:spacing w:val="-6"/>
          <w:sz w:val="22"/>
          <w:szCs w:val="22"/>
          <w:lang w:eastAsia="es-ES"/>
        </w:rPr>
        <w:t>%</w:t>
      </w:r>
      <w:r w:rsidRPr="00503758">
        <w:rPr>
          <w:rFonts w:eastAsia="Calibri"/>
          <w:spacing w:val="-6"/>
          <w:sz w:val="22"/>
          <w:szCs w:val="22"/>
        </w:rPr>
        <w:t xml:space="preserve"> </w:t>
      </w:r>
      <w:r w:rsidRPr="00503758">
        <w:rPr>
          <w:rFonts w:eastAsia="Calibri"/>
          <w:i/>
          <w:iCs/>
          <w:spacing w:val="-6"/>
          <w:sz w:val="22"/>
          <w:szCs w:val="22"/>
        </w:rPr>
        <w:t>Cladosporium</w:t>
      </w:r>
      <w:r w:rsidRPr="00503758">
        <w:rPr>
          <w:rFonts w:eastAsia="Calibri"/>
          <w:spacing w:val="-6"/>
          <w:sz w:val="22"/>
          <w:szCs w:val="22"/>
        </w:rPr>
        <w:t xml:space="preserve">, </w:t>
      </w:r>
      <w:proofErr w:type="spellStart"/>
      <w:r w:rsidRPr="00503758">
        <w:rPr>
          <w:rFonts w:eastAsia="Calibri"/>
          <w:i/>
          <w:iCs/>
          <w:spacing w:val="-6"/>
          <w:sz w:val="22"/>
          <w:szCs w:val="22"/>
        </w:rPr>
        <w:t>Geotrichum</w:t>
      </w:r>
      <w:proofErr w:type="spellEnd"/>
      <w:r w:rsidRPr="00503758">
        <w:rPr>
          <w:rFonts w:eastAsia="Calibri"/>
          <w:spacing w:val="-6"/>
          <w:sz w:val="22"/>
          <w:szCs w:val="22"/>
        </w:rPr>
        <w:t xml:space="preserve">, </w:t>
      </w:r>
      <w:proofErr w:type="spellStart"/>
      <w:r w:rsidRPr="00503758">
        <w:rPr>
          <w:rFonts w:eastAsia="Calibri"/>
          <w:i/>
          <w:iCs/>
          <w:spacing w:val="-6"/>
          <w:sz w:val="22"/>
          <w:szCs w:val="22"/>
        </w:rPr>
        <w:t>Rhodotorula</w:t>
      </w:r>
      <w:proofErr w:type="spellEnd"/>
      <w:r w:rsidRPr="00503758">
        <w:rPr>
          <w:rFonts w:eastAsia="Calibri"/>
          <w:spacing w:val="-6"/>
          <w:sz w:val="22"/>
          <w:szCs w:val="22"/>
        </w:rPr>
        <w:t xml:space="preserve">, </w:t>
      </w:r>
      <w:proofErr w:type="spellStart"/>
      <w:r w:rsidRPr="00503758">
        <w:rPr>
          <w:rFonts w:eastAsia="Calibri"/>
          <w:i/>
          <w:iCs/>
          <w:spacing w:val="-6"/>
          <w:sz w:val="22"/>
          <w:szCs w:val="22"/>
        </w:rPr>
        <w:t>Yarrowia</w:t>
      </w:r>
      <w:proofErr w:type="spellEnd"/>
      <w:r w:rsidRPr="00503758">
        <w:rPr>
          <w:rFonts w:eastAsia="Calibri"/>
          <w:spacing w:val="-6"/>
          <w:sz w:val="22"/>
          <w:szCs w:val="22"/>
        </w:rPr>
        <w:t xml:space="preserve">, and </w:t>
      </w:r>
      <w:r w:rsidRPr="00503758">
        <w:rPr>
          <w:rFonts w:eastAsia="Calibri"/>
          <w:i/>
          <w:iCs/>
          <w:spacing w:val="-6"/>
          <w:sz w:val="22"/>
          <w:szCs w:val="22"/>
        </w:rPr>
        <w:t>Zygosaccharomyces</w:t>
      </w:r>
      <w:r w:rsidRPr="00503758">
        <w:rPr>
          <w:rFonts w:eastAsia="Calibri"/>
          <w:spacing w:val="-6"/>
          <w:sz w:val="22"/>
          <w:szCs w:val="22"/>
        </w:rPr>
        <w:t>.</w:t>
      </w:r>
      <w:r w:rsidRPr="00503758">
        <w:rPr>
          <w:color w:val="333333"/>
          <w:spacing w:val="-6"/>
          <w:sz w:val="22"/>
          <w:szCs w:val="22"/>
        </w:rPr>
        <w:t xml:space="preserve"> The dominant bacteria was 80% family </w:t>
      </w:r>
      <w:proofErr w:type="spellStart"/>
      <w:r w:rsidRPr="00503758">
        <w:rPr>
          <w:color w:val="333333"/>
          <w:spacing w:val="-6"/>
          <w:sz w:val="22"/>
          <w:szCs w:val="22"/>
        </w:rPr>
        <w:t>Lactobacillaceae</w:t>
      </w:r>
      <w:proofErr w:type="spellEnd"/>
      <w:r w:rsidRPr="00503758">
        <w:rPr>
          <w:color w:val="333333"/>
          <w:spacing w:val="-6"/>
          <w:sz w:val="22"/>
          <w:szCs w:val="22"/>
        </w:rPr>
        <w:t>, 11.8</w:t>
      </w:r>
      <w:r w:rsidRPr="00503758">
        <w:rPr>
          <w:spacing w:val="-6"/>
          <w:sz w:val="22"/>
          <w:szCs w:val="22"/>
          <w:lang w:eastAsia="es-ES"/>
        </w:rPr>
        <w:t>%</w:t>
      </w:r>
      <w:r w:rsidRPr="00503758">
        <w:rPr>
          <w:color w:val="333333"/>
          <w:spacing w:val="-6"/>
          <w:sz w:val="22"/>
          <w:szCs w:val="22"/>
        </w:rPr>
        <w:t xml:space="preserve"> </w:t>
      </w:r>
      <w:r w:rsidRPr="00503758">
        <w:rPr>
          <w:i/>
          <w:iCs/>
          <w:color w:val="333333"/>
          <w:spacing w:val="-6"/>
          <w:sz w:val="22"/>
          <w:szCs w:val="22"/>
        </w:rPr>
        <w:t>Lactobacillus</w:t>
      </w:r>
      <w:r w:rsidRPr="00503758">
        <w:rPr>
          <w:color w:val="333333"/>
          <w:spacing w:val="-6"/>
          <w:sz w:val="22"/>
          <w:szCs w:val="22"/>
        </w:rPr>
        <w:t>, 1.4</w:t>
      </w:r>
      <w:r w:rsidRPr="00503758">
        <w:rPr>
          <w:spacing w:val="-6"/>
          <w:sz w:val="22"/>
          <w:szCs w:val="22"/>
          <w:lang w:eastAsia="es-ES"/>
        </w:rPr>
        <w:t xml:space="preserve">% </w:t>
      </w:r>
      <w:proofErr w:type="spellStart"/>
      <w:r w:rsidRPr="00503758">
        <w:rPr>
          <w:i/>
          <w:iCs/>
          <w:color w:val="333333"/>
          <w:spacing w:val="-6"/>
          <w:sz w:val="22"/>
          <w:szCs w:val="22"/>
        </w:rPr>
        <w:t>Dysgonomonas</w:t>
      </w:r>
      <w:proofErr w:type="spellEnd"/>
      <w:r w:rsidRPr="00503758">
        <w:rPr>
          <w:color w:val="333333"/>
          <w:spacing w:val="-6"/>
          <w:sz w:val="22"/>
          <w:szCs w:val="22"/>
        </w:rPr>
        <w:t>, 1</w:t>
      </w:r>
      <w:r w:rsidRPr="00503758">
        <w:rPr>
          <w:rFonts w:eastAsia="Calibri"/>
          <w:spacing w:val="-6"/>
          <w:sz w:val="22"/>
          <w:szCs w:val="22"/>
        </w:rPr>
        <w:t>.0</w:t>
      </w:r>
      <w:r w:rsidRPr="00503758">
        <w:rPr>
          <w:spacing w:val="-6"/>
          <w:sz w:val="22"/>
          <w:szCs w:val="22"/>
          <w:lang w:eastAsia="es-ES"/>
        </w:rPr>
        <w:t xml:space="preserve">% </w:t>
      </w:r>
      <w:proofErr w:type="spellStart"/>
      <w:r w:rsidRPr="00503758">
        <w:rPr>
          <w:i/>
          <w:iCs/>
          <w:color w:val="333333"/>
          <w:spacing w:val="-6"/>
          <w:sz w:val="22"/>
          <w:szCs w:val="22"/>
        </w:rPr>
        <w:t>Haemophilus</w:t>
      </w:r>
      <w:proofErr w:type="spellEnd"/>
      <w:r w:rsidRPr="00503758">
        <w:rPr>
          <w:color w:val="333333"/>
          <w:spacing w:val="-6"/>
          <w:sz w:val="22"/>
          <w:szCs w:val="22"/>
        </w:rPr>
        <w:t>, and 0.6</w:t>
      </w:r>
      <w:r w:rsidRPr="00503758">
        <w:rPr>
          <w:spacing w:val="-6"/>
          <w:sz w:val="22"/>
          <w:szCs w:val="22"/>
          <w:lang w:eastAsia="es-ES"/>
        </w:rPr>
        <w:t xml:space="preserve">% </w:t>
      </w:r>
      <w:proofErr w:type="spellStart"/>
      <w:r w:rsidRPr="00503758">
        <w:rPr>
          <w:i/>
          <w:iCs/>
          <w:color w:val="333333"/>
          <w:spacing w:val="-6"/>
          <w:sz w:val="22"/>
          <w:szCs w:val="22"/>
        </w:rPr>
        <w:t>Comamonas</w:t>
      </w:r>
      <w:proofErr w:type="spellEnd"/>
      <w:r w:rsidRPr="00503758">
        <w:rPr>
          <w:color w:val="333333"/>
          <w:spacing w:val="-6"/>
          <w:sz w:val="22"/>
          <w:szCs w:val="22"/>
        </w:rPr>
        <w:t>.</w:t>
      </w:r>
    </w:p>
    <w:p w14:paraId="67AE5350" w14:textId="77777777" w:rsidR="00E777FD" w:rsidRPr="00503758" w:rsidRDefault="00E777FD" w:rsidP="0050375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color w:val="333333"/>
          <w:sz w:val="22"/>
          <w:szCs w:val="22"/>
        </w:rPr>
      </w:pPr>
    </w:p>
    <w:p w14:paraId="25BF17D4" w14:textId="77777777" w:rsidR="00E777FD" w:rsidRPr="00503758" w:rsidRDefault="00E777FD" w:rsidP="0050375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napToGrid w:val="0"/>
          <w:spacing w:val="-4"/>
          <w:kern w:val="0"/>
          <w14:ligatures w14:val="none"/>
        </w:rPr>
      </w:pPr>
      <w:r w:rsidRPr="00503758">
        <w:rPr>
          <w:rFonts w:ascii="Times New Roman" w:eastAsia="Times New Roman" w:hAnsi="Times New Roman" w:cs="Times New Roman"/>
          <w:b/>
          <w:bCs/>
          <w:snapToGrid w:val="0"/>
          <w:spacing w:val="-4"/>
          <w:kern w:val="0"/>
          <w14:ligatures w14:val="none"/>
        </w:rPr>
        <w:t>Keywords:</w:t>
      </w:r>
      <w:r w:rsidRPr="00503758">
        <w:rPr>
          <w:rFonts w:ascii="Times New Roman" w:eastAsia="Times New Roman" w:hAnsi="Times New Roman" w:cs="Times New Roman"/>
          <w:snapToGrid w:val="0"/>
          <w:spacing w:val="-4"/>
          <w:kern w:val="0"/>
          <w14:ligatures w14:val="none"/>
        </w:rPr>
        <w:t xml:space="preserve"> amplicon sequence variable (ASV), bacteria, </w:t>
      </w:r>
      <w:r w:rsidRPr="00503758">
        <w:rPr>
          <w:rFonts w:ascii="Times New Roman" w:eastAsia="Times New Roman" w:hAnsi="Times New Roman" w:cs="Times New Roman"/>
          <w:i/>
          <w:iCs/>
          <w:snapToGrid w:val="0"/>
          <w:spacing w:val="-4"/>
          <w:kern w:val="0"/>
          <w14:ligatures w14:val="none"/>
        </w:rPr>
        <w:t xml:space="preserve">Melipona </w:t>
      </w:r>
      <w:proofErr w:type="spellStart"/>
      <w:r w:rsidRPr="00503758">
        <w:rPr>
          <w:rFonts w:ascii="Times New Roman" w:eastAsia="Times New Roman" w:hAnsi="Times New Roman" w:cs="Times New Roman"/>
          <w:i/>
          <w:iCs/>
          <w:snapToGrid w:val="0"/>
          <w:spacing w:val="-4"/>
          <w:kern w:val="0"/>
          <w14:ligatures w14:val="none"/>
        </w:rPr>
        <w:t>favosa</w:t>
      </w:r>
      <w:proofErr w:type="spellEnd"/>
      <w:r w:rsidRPr="00503758">
        <w:rPr>
          <w:rFonts w:ascii="Times New Roman" w:eastAsia="Times New Roman" w:hAnsi="Times New Roman" w:cs="Times New Roman"/>
          <w:snapToGrid w:val="0"/>
          <w:spacing w:val="-4"/>
          <w:kern w:val="0"/>
          <w14:ligatures w14:val="none"/>
        </w:rPr>
        <w:t>, microbiome, mold, pot-honey, stingless bee nest, yeasts</w:t>
      </w:r>
    </w:p>
    <w:p w14:paraId="2CAC2553" w14:textId="1279FC1B" w:rsidR="00D845F9" w:rsidRPr="00E777FD" w:rsidRDefault="00D845F9" w:rsidP="00E777FD"/>
    <w:sectPr w:rsidR="00D845F9" w:rsidRPr="00E777FD" w:rsidSect="00FC21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33"/>
    <w:rsid w:val="00046274"/>
    <w:rsid w:val="000C1037"/>
    <w:rsid w:val="000E35DE"/>
    <w:rsid w:val="00191283"/>
    <w:rsid w:val="001923A4"/>
    <w:rsid w:val="001C4353"/>
    <w:rsid w:val="001E11AE"/>
    <w:rsid w:val="001E200A"/>
    <w:rsid w:val="001F7833"/>
    <w:rsid w:val="00214331"/>
    <w:rsid w:val="002D1D71"/>
    <w:rsid w:val="0036774C"/>
    <w:rsid w:val="003751C7"/>
    <w:rsid w:val="00393495"/>
    <w:rsid w:val="003B43D7"/>
    <w:rsid w:val="003E0148"/>
    <w:rsid w:val="00402FFB"/>
    <w:rsid w:val="004D1225"/>
    <w:rsid w:val="004E7256"/>
    <w:rsid w:val="00503758"/>
    <w:rsid w:val="00550CBD"/>
    <w:rsid w:val="005F0455"/>
    <w:rsid w:val="006135D3"/>
    <w:rsid w:val="00700916"/>
    <w:rsid w:val="00715056"/>
    <w:rsid w:val="00751742"/>
    <w:rsid w:val="00770632"/>
    <w:rsid w:val="007759BF"/>
    <w:rsid w:val="00785C21"/>
    <w:rsid w:val="00826FBB"/>
    <w:rsid w:val="008A51E0"/>
    <w:rsid w:val="008E33C6"/>
    <w:rsid w:val="008F6283"/>
    <w:rsid w:val="00924CCA"/>
    <w:rsid w:val="0093272F"/>
    <w:rsid w:val="00942F68"/>
    <w:rsid w:val="009971B5"/>
    <w:rsid w:val="009A5075"/>
    <w:rsid w:val="009B34CE"/>
    <w:rsid w:val="00A35269"/>
    <w:rsid w:val="00A46FBD"/>
    <w:rsid w:val="00AE4E79"/>
    <w:rsid w:val="00B47C30"/>
    <w:rsid w:val="00BA25A1"/>
    <w:rsid w:val="00C20ED0"/>
    <w:rsid w:val="00C305C5"/>
    <w:rsid w:val="00C37837"/>
    <w:rsid w:val="00C56E04"/>
    <w:rsid w:val="00CA1A9B"/>
    <w:rsid w:val="00CB6EAB"/>
    <w:rsid w:val="00CE2129"/>
    <w:rsid w:val="00CE5E6A"/>
    <w:rsid w:val="00CE6784"/>
    <w:rsid w:val="00CF0E40"/>
    <w:rsid w:val="00D46FFB"/>
    <w:rsid w:val="00D622BF"/>
    <w:rsid w:val="00D845F9"/>
    <w:rsid w:val="00E777FD"/>
    <w:rsid w:val="00E85621"/>
    <w:rsid w:val="00FC2165"/>
    <w:rsid w:val="00FE1BF9"/>
    <w:rsid w:val="00FF231A"/>
  </w:rsids>
  <m:mathPr>
    <m:mathFont m:val="Cambria Math"/>
    <m:brkBin m:val="before"/>
    <m:brkBinSub m:val="--"/>
    <m:smallFrac m:val="0"/>
    <m:dispDef/>
    <m:lMargin m:val="0"/>
    <m:rMargin m:val="0"/>
    <m:defJc m:val="centerGroup"/>
    <m:wrapIndent m:val="1440"/>
    <m:intLim m:val="subSup"/>
    <m:naryLim m:val="undOvr"/>
  </m:mathPr>
  <w:themeFontLang w:val="es-V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BAE0"/>
  <w15:chartTrackingRefBased/>
  <w15:docId w15:val="{A4A797D3-2447-42A7-BD46-008C9855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7FD"/>
  </w:style>
  <w:style w:type="paragraph" w:styleId="Ttulo1">
    <w:name w:val="heading 1"/>
    <w:basedOn w:val="Normal"/>
    <w:next w:val="Normal"/>
    <w:link w:val="Ttulo1Car"/>
    <w:uiPriority w:val="9"/>
    <w:qFormat/>
    <w:rsid w:val="001F78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F78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F783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F783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F783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F78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78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78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783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783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F783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F783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F783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F783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F78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78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78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7833"/>
    <w:rPr>
      <w:rFonts w:eastAsiaTheme="majorEastAsia" w:cstheme="majorBidi"/>
      <w:color w:val="272727" w:themeColor="text1" w:themeTint="D8"/>
    </w:rPr>
  </w:style>
  <w:style w:type="paragraph" w:styleId="Ttulo">
    <w:name w:val="Title"/>
    <w:basedOn w:val="Normal"/>
    <w:next w:val="Normal"/>
    <w:link w:val="TtuloCar"/>
    <w:uiPriority w:val="10"/>
    <w:qFormat/>
    <w:rsid w:val="001F7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78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78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78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7833"/>
    <w:pPr>
      <w:spacing w:before="160"/>
      <w:jc w:val="center"/>
    </w:pPr>
    <w:rPr>
      <w:i/>
      <w:iCs/>
      <w:color w:val="404040" w:themeColor="text1" w:themeTint="BF"/>
    </w:rPr>
  </w:style>
  <w:style w:type="character" w:customStyle="1" w:styleId="CitaCar">
    <w:name w:val="Cita Car"/>
    <w:basedOn w:val="Fuentedeprrafopredeter"/>
    <w:link w:val="Cita"/>
    <w:uiPriority w:val="29"/>
    <w:rsid w:val="001F7833"/>
    <w:rPr>
      <w:i/>
      <w:iCs/>
      <w:color w:val="404040" w:themeColor="text1" w:themeTint="BF"/>
    </w:rPr>
  </w:style>
  <w:style w:type="paragraph" w:styleId="Prrafodelista">
    <w:name w:val="List Paragraph"/>
    <w:basedOn w:val="Normal"/>
    <w:uiPriority w:val="34"/>
    <w:qFormat/>
    <w:rsid w:val="001F7833"/>
    <w:pPr>
      <w:ind w:left="720"/>
      <w:contextualSpacing/>
    </w:pPr>
  </w:style>
  <w:style w:type="character" w:styleId="nfasisintenso">
    <w:name w:val="Intense Emphasis"/>
    <w:basedOn w:val="Fuentedeprrafopredeter"/>
    <w:uiPriority w:val="21"/>
    <w:qFormat/>
    <w:rsid w:val="001F7833"/>
    <w:rPr>
      <w:i/>
      <w:iCs/>
      <w:color w:val="2F5496" w:themeColor="accent1" w:themeShade="BF"/>
    </w:rPr>
  </w:style>
  <w:style w:type="paragraph" w:styleId="Citadestacada">
    <w:name w:val="Intense Quote"/>
    <w:basedOn w:val="Normal"/>
    <w:next w:val="Normal"/>
    <w:link w:val="CitadestacadaCar"/>
    <w:uiPriority w:val="30"/>
    <w:qFormat/>
    <w:rsid w:val="001F78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F7833"/>
    <w:rPr>
      <w:i/>
      <w:iCs/>
      <w:color w:val="2F5496" w:themeColor="accent1" w:themeShade="BF"/>
    </w:rPr>
  </w:style>
  <w:style w:type="character" w:styleId="Referenciaintensa">
    <w:name w:val="Intense Reference"/>
    <w:basedOn w:val="Fuentedeprrafopredeter"/>
    <w:uiPriority w:val="32"/>
    <w:qFormat/>
    <w:rsid w:val="001F7833"/>
    <w:rPr>
      <w:b/>
      <w:bCs/>
      <w:smallCaps/>
      <w:color w:val="2F5496" w:themeColor="accent1" w:themeShade="BF"/>
      <w:spacing w:val="5"/>
    </w:rPr>
  </w:style>
  <w:style w:type="character" w:styleId="Hipervnculo">
    <w:name w:val="Hyperlink"/>
    <w:basedOn w:val="Fuentedeprrafopredeter"/>
    <w:uiPriority w:val="99"/>
    <w:unhideWhenUsed/>
    <w:rsid w:val="003E0148"/>
    <w:rPr>
      <w:color w:val="0563C1" w:themeColor="hyperlink"/>
      <w:u w:val="single"/>
    </w:rPr>
  </w:style>
  <w:style w:type="paragraph" w:styleId="NormalWeb">
    <w:name w:val="Normal (Web)"/>
    <w:basedOn w:val="Normal"/>
    <w:uiPriority w:val="99"/>
    <w:unhideWhenUsed/>
    <w:rsid w:val="009B34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nfasis">
    <w:name w:val="Emphasis"/>
    <w:basedOn w:val="Fuentedeprrafopredeter"/>
    <w:uiPriority w:val="20"/>
    <w:qFormat/>
    <w:rsid w:val="009B34CE"/>
    <w:rPr>
      <w:i/>
      <w:iCs/>
    </w:rPr>
  </w:style>
  <w:style w:type="character" w:styleId="Mencinsinresolver">
    <w:name w:val="Unresolved Mention"/>
    <w:basedOn w:val="Fuentedeprrafopredeter"/>
    <w:uiPriority w:val="99"/>
    <w:semiHidden/>
    <w:unhideWhenUsed/>
    <w:rsid w:val="00775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ason.stajich@ucr.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tolivier@gmal.com" TargetMode="External"/><Relationship Id="rId5" Type="http://schemas.openxmlformats.org/officeDocument/2006/relationships/hyperlink" Target="https://unu.edu/sites/default/files/2024-06/Memorias%20JMF%20Camargo%20Symposium%202024%2012.pdf" TargetMode="External"/><Relationship Id="rId4" Type="http://schemas.openxmlformats.org/officeDocument/2006/relationships/hyperlink" Target="https://forms.gle/pDp9NHubreebYZEdA"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575</Words>
  <Characters>3280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PATRICIA-VIT</dc:creator>
  <cp:keywords/>
  <dc:description/>
  <cp:lastModifiedBy>PATRICIA-VIT</cp:lastModifiedBy>
  <cp:revision>3</cp:revision>
  <dcterms:created xsi:type="dcterms:W3CDTF">2026-05-22T14:13:00Z</dcterms:created>
  <dcterms:modified xsi:type="dcterms:W3CDTF">2026-05-22T14:49:00Z</dcterms:modified>
</cp:coreProperties>
</file>